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18.12.2025 N 3867-р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18 декабря 2025 г. N 3867-р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26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жизненно необходимых и важнейших лекарственных препаратов для медицинского применения;</w:t>
      </w:r>
    </w:p>
    <w:p>
      <w:pPr>
        <w:pStyle w:val="0"/>
        <w:spacing w:before="200" w:lineRule="auto"/>
        <w:ind w:firstLine="540"/>
        <w:jc w:val="both"/>
      </w:pPr>
      <w:hyperlink w:history="0" w:anchor="P3621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минимальный </w:t>
      </w:r>
      <w:hyperlink w:history="0" w:anchor="P4020" w:tooltip="МИНИМАЛЬНЫЙ АССОРТИМЕНТ">
        <w:r>
          <w:rPr>
            <w:sz w:val="20"/>
            <w:color w:val="0000ff"/>
          </w:rPr>
          <w:t xml:space="preserve">ассортимент</w:t>
        </w:r>
      </w:hyperlink>
      <w:r>
        <w:rPr>
          <w:sz w:val="20"/>
        </w:rPr>
        <w:t xml:space="preserve"> лекарственных препаратов, необходимых для оказания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акты Правительства Российской Федерации по перечню согласно </w:t>
      </w:r>
      <w:hyperlink w:history="0" w:anchor="P4767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распоряжение вступает в силу по истечении 2 месяцев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0"/>
        </w:rPr>
        <w:t xml:space="preserve">ДЛЯ МЕДИЦИНСКОГО ПРИМЕНЕНИЯ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требующие разжевывания или растворения во рту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или мягкие лекарственные формы для местного ректального применения, за исключением пены ректальной;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или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 и его комбинации с витаминами B</w:t>
            </w:r>
            <w:r>
              <w:rPr>
                <w:sz w:val="20"/>
                <w:vertAlign w:val="subscript"/>
              </w:rPr>
              <w:t xml:space="preserve">6</w:t>
            </w:r>
            <w:r>
              <w:rPr>
                <w:sz w:val="20"/>
              </w:rPr>
              <w:t xml:space="preserve"> и B</w:t>
            </w:r>
            <w:r>
              <w:rPr>
                <w:sz w:val="20"/>
                <w:vertAlign w:val="subscript"/>
              </w:rPr>
              <w:t xml:space="preserve"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или растворяемые в растворителе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12</w:t>
            </w:r>
            <w:r>
              <w:rPr>
                <w:sz w:val="20"/>
              </w:rP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B</w:t>
            </w:r>
            <w:r>
              <w:rPr>
                <w:sz w:val="20"/>
                <w:vertAlign w:val="subscript"/>
              </w:rPr>
              <w:t xml:space="preserve">12</w:t>
            </w:r>
            <w:r>
              <w:rPr>
                <w:sz w:val="20"/>
              </w:rP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перитонеального диализа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или местного подъязычного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или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 (или)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и (или) наружного применения, за исключением спрея назального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 и (или) для приготовления лекарственных форм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применения, за исключением системы вагинальной терапевтической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или требующие растворения во рту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или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интравитреального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ингаляционного, и (или) парентерального, и (или) эндотрахеального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местного, и (или) местного офтальмологического,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L01FС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парентерального внутриглазного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парентерального подкожного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и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местного и (или)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и (или)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применения, за исключением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интратекального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или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трансдермального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парентерального и (или) субконъюнктивального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местного подъязычного и (или) защечного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трансдермального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 и (или) ингаляционного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и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или растворяемые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и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ушного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и (или)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комплекс </w:t>
            </w:r>
            <w:r>
              <w:rPr>
                <w:position w:val="-8"/>
              </w:rPr>
              <w:drawing>
                <wp:inline distT="0" distB="0" distL="0" distR="0">
                  <wp:extent cx="12382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парентерального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621" w:name="P3621"/>
    <w:bookmarkEnd w:id="362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ПРЕПАРАТОВ, ПРЕДНАЗНАЧЕННЫХ ДЛЯ ОБЕСПЕЧЕНИЯ</w:t>
      </w:r>
    </w:p>
    <w:p>
      <w:pPr>
        <w:pStyle w:val="2"/>
        <w:jc w:val="center"/>
      </w:pPr>
      <w:r>
        <w:rPr>
          <w:sz w:val="20"/>
        </w:rPr>
        <w:t xml:space="preserve">ЛИЦ, БОЛЬНЫХ ГЕМОФИЛИЕЙ, МУКОВИСЦИДОЗОМ, ГИПОФИЗАРНЫМ</w:t>
      </w:r>
    </w:p>
    <w:p>
      <w:pPr>
        <w:pStyle w:val="2"/>
        <w:jc w:val="center"/>
      </w:pPr>
      <w:r>
        <w:rPr>
          <w:sz w:val="20"/>
        </w:rPr>
        <w:t xml:space="preserve">НАНИЗМОМ, БОЛЕЗНЬЮ ГОШЕ, ЗЛОКАЧЕСТВЕННЫМИ НОВООБРАЗОВАНИЯМИ</w:t>
      </w:r>
    </w:p>
    <w:p>
      <w:pPr>
        <w:pStyle w:val="2"/>
        <w:jc w:val="center"/>
      </w:pPr>
      <w:r>
        <w:rPr>
          <w:sz w:val="20"/>
        </w:rPr>
        <w:t xml:space="preserve">ЛИМФОИДНОЙ, КРОВЕТВОРНОЙ И РОДСТВЕННЫХ ИМ ТКАНЕЙ, РАССЕЯННЫМ</w:t>
      </w:r>
    </w:p>
    <w:p>
      <w:pPr>
        <w:pStyle w:val="2"/>
        <w:jc w:val="center"/>
      </w:pPr>
      <w:r>
        <w:rPr>
          <w:sz w:val="20"/>
        </w:rPr>
        <w:t xml:space="preserve">СКЛЕРОЗОМ, ГЕМОЛИТИКО-УРЕМИЧЕСКИМ СИНДРОМОМ, ЮНОШЕСКИМ</w:t>
      </w:r>
    </w:p>
    <w:p>
      <w:pPr>
        <w:pStyle w:val="2"/>
        <w:jc w:val="center"/>
      </w:pPr>
      <w:r>
        <w:rPr>
          <w:sz w:val="20"/>
        </w:rPr>
        <w:t xml:space="preserve">АРТРИТОМ С СИСТЕМНЫМ НАЧАЛОМ, МУКОПОЛИСАХАРИДОЗОМ I, II И VI</w:t>
      </w:r>
    </w:p>
    <w:p>
      <w:pPr>
        <w:pStyle w:val="2"/>
        <w:jc w:val="center"/>
      </w:pPr>
      <w:r>
        <w:rPr>
          <w:sz w:val="20"/>
        </w:rPr>
        <w:t xml:space="preserve">ТИПОВ, АПЛАСТИЧЕСКОЙ АНЕМИЕЙ НЕУТОЧНЕННОЙ, НАСЛЕДСТВЕННЫМ</w:t>
      </w:r>
    </w:p>
    <w:p>
      <w:pPr>
        <w:pStyle w:val="2"/>
        <w:jc w:val="center"/>
      </w:pPr>
      <w:r>
        <w:rPr>
          <w:sz w:val="20"/>
        </w:rPr>
        <w:t xml:space="preserve">ДЕФИЦИТОМ ФАКТОРОВ II (ФИБРИНОГЕНА), VII (ЛАБИЛЬНОГО), X</w:t>
      </w:r>
    </w:p>
    <w:p>
      <w:pPr>
        <w:pStyle w:val="2"/>
        <w:jc w:val="center"/>
      </w:pPr>
      <w:r>
        <w:rPr>
          <w:sz w:val="20"/>
        </w:rPr>
        <w:t xml:space="preserve">(СТЮАРТА - ПРАУЭРА), ЛИЦ ПОСЛЕ ТРАНСПЛАНТАЦИИ ОРГАНОВ</w:t>
      </w:r>
    </w:p>
    <w:p>
      <w:pPr>
        <w:pStyle w:val="2"/>
        <w:jc w:val="center"/>
      </w:pPr>
      <w:r>
        <w:rPr>
          <w:sz w:val="20"/>
        </w:rPr>
        <w:t xml:space="preserve">И (ИЛИ) ТКАНЕЙ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гемофилией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антиингибиторный коагулянтный комплекс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нонаког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 свертывания крови IX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эфмороктоког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эмицизумаб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муковисцидозом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дорназа альфа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гипофизарным нанизмом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соматропин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болезнью Гоше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велаглюцераза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имиглюцераза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талиглюцераза альфа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0"/>
        </w:rPr>
        <w:t xml:space="preserve">кроветворной и родственных им тканей (хронический миелоидный</w:t>
      </w:r>
    </w:p>
    <w:p>
      <w:pPr>
        <w:pStyle w:val="2"/>
        <w:jc w:val="center"/>
      </w:pPr>
      <w:r>
        <w:rPr>
          <w:sz w:val="20"/>
        </w:rPr>
        <w:t xml:space="preserve">лейкоз, макроглобулинемия Вальденстрема, множественная</w:t>
      </w:r>
    </w:p>
    <w:p>
      <w:pPr>
        <w:pStyle w:val="2"/>
        <w:jc w:val="center"/>
      </w:pPr>
      <w:r>
        <w:rPr>
          <w:sz w:val="20"/>
        </w:rPr>
        <w:t xml:space="preserve">миелома, фолликулярная (нодулярная) неходжкинская лимфома,</w:t>
      </w:r>
    </w:p>
    <w:p>
      <w:pPr>
        <w:pStyle w:val="2"/>
        <w:jc w:val="center"/>
      </w:pPr>
      <w:r>
        <w:rPr>
          <w:sz w:val="20"/>
        </w:rPr>
        <w:t xml:space="preserve">мелкоклеточная (диффузная) неходжкинская лимфома,</w:t>
      </w:r>
    </w:p>
    <w:p>
      <w:pPr>
        <w:pStyle w:val="2"/>
        <w:jc w:val="center"/>
      </w:pPr>
      <w:r>
        <w:rPr>
          <w:sz w:val="20"/>
        </w:rPr>
        <w:t xml:space="preserve">мелкоклеточная с расщепленными ядрами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крупноклеточная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иммунобластная (диффузная)</w:t>
      </w:r>
    </w:p>
    <w:p>
      <w:pPr>
        <w:pStyle w:val="2"/>
        <w:jc w:val="center"/>
      </w:pPr>
      <w:r>
        <w:rPr>
          <w:sz w:val="20"/>
        </w:rPr>
        <w:t xml:space="preserve">неходжкинская лимфома, другие типы диффузных неходжкинских</w:t>
      </w:r>
    </w:p>
    <w:p>
      <w:pPr>
        <w:pStyle w:val="2"/>
        <w:jc w:val="center"/>
      </w:pPr>
      <w:r>
        <w:rPr>
          <w:sz w:val="20"/>
        </w:rPr>
        <w:t xml:space="preserve">лимфом, диффузная неходжкинская лимфома неуточненная,</w:t>
      </w:r>
    </w:p>
    <w:p>
      <w:pPr>
        <w:pStyle w:val="2"/>
        <w:jc w:val="center"/>
      </w:pPr>
      <w:r>
        <w:rPr>
          <w:sz w:val="20"/>
        </w:rPr>
        <w:t xml:space="preserve">другие и неуточненные типы неходжкинской лимфомы,</w:t>
      </w:r>
    </w:p>
    <w:p>
      <w:pPr>
        <w:pStyle w:val="2"/>
        <w:jc w:val="center"/>
      </w:pPr>
      <w:r>
        <w:rPr>
          <w:sz w:val="20"/>
        </w:rPr>
        <w:t xml:space="preserve">хронический лимфоцитарный лейкоз)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флударабин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иматиниб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ритуксимаб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даратумумаб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изатуксимаб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бортезомиб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иксазомиб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леналидомид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помалидомид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рассеянным склерозом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интерферон бета-1a</w:t>
            </w:r>
          </w:p>
          <w:p>
            <w:pPr>
              <w:pStyle w:val="0"/>
            </w:pPr>
            <w:r>
              <w:rPr>
                <w:sz w:val="20"/>
              </w:rPr>
              <w:t xml:space="preserve">интерферон бета-1b</w:t>
            </w:r>
          </w:p>
          <w:p>
            <w:pPr>
              <w:pStyle w:val="0"/>
            </w:pPr>
            <w:r>
              <w:rPr>
                <w:sz w:val="20"/>
              </w:rPr>
              <w:t xml:space="preserve">пэгинтерферон бета-1a</w:t>
            </w:r>
          </w:p>
          <w:p>
            <w:pPr>
              <w:pStyle w:val="0"/>
            </w:pPr>
            <w:r>
              <w:rPr>
                <w:sz w:val="20"/>
              </w:rPr>
              <w:t xml:space="preserve">сампэгинтерферон бета-1a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глатирамера ацетат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алемтузумаб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дивозилимаб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кладрибин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окрелизумаб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терифлуномид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натализумаб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пациенты после трансплантации органов и (или) тканей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эверолимус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микофенолата мофетил микофеноловая кислота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такролимус</w:t>
            </w:r>
          </w:p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гемолитико-уремическим синдромом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экулизумаб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юношеским артритом с системным началом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адалимумаб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этанерцепт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канакинумаб</w:t>
            </w:r>
          </w:p>
          <w:p>
            <w:pPr>
              <w:pStyle w:val="0"/>
            </w:pPr>
            <w:r>
              <w:rPr>
                <w:sz w:val="20"/>
              </w:rPr>
              <w:t xml:space="preserve">тоцилизумаб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I типа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ларонидаза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II типа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идурсульфаза бета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мукополисахаридозом VI типа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галсульфаза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L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L04AD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циклоспорин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0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0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факторы свертывания крови</w:t>
            </w:r>
          </w:p>
        </w:tc>
        <w:tc>
          <w:tcPr>
            <w:tcW w:w="4227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эптаког альфа (активированный)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020" w:name="P4020"/>
    <w:bookmarkEnd w:id="4020"/>
    <w:p>
      <w:pPr>
        <w:pStyle w:val="2"/>
        <w:jc w:val="center"/>
      </w:pPr>
      <w:r>
        <w:rPr>
          <w:sz w:val="20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0"/>
        </w:rPr>
        <w:t xml:space="preserve">МЕДИЦИНСКОЙ ПОМОЩИ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Для аптек (готовых лекарственных форм,</w:t>
      </w:r>
    </w:p>
    <w:p>
      <w:pPr>
        <w:pStyle w:val="2"/>
        <w:jc w:val="center"/>
      </w:pPr>
      <w:r>
        <w:rPr>
          <w:sz w:val="20"/>
        </w:rPr>
        <w:t xml:space="preserve">производственных с правом изготовления лекарственных</w:t>
      </w:r>
    </w:p>
    <w:p>
      <w:pPr>
        <w:pStyle w:val="2"/>
        <w:jc w:val="center"/>
      </w:pPr>
      <w:r>
        <w:rPr>
          <w:sz w:val="20"/>
        </w:rPr>
        <w:t xml:space="preserve">препаратов, производственных с правом изготовления</w:t>
      </w:r>
    </w:p>
    <w:p>
      <w:pPr>
        <w:pStyle w:val="2"/>
        <w:jc w:val="center"/>
      </w:pPr>
      <w:r>
        <w:rPr>
          <w:sz w:val="20"/>
        </w:rPr>
        <w:t xml:space="preserve">асептических лекарственных препаратов, производственных</w:t>
      </w:r>
    </w:p>
    <w:p>
      <w:pPr>
        <w:pStyle w:val="2"/>
        <w:jc w:val="center"/>
      </w:pPr>
      <w:r>
        <w:rPr>
          <w:sz w:val="20"/>
        </w:rPr>
        <w:t xml:space="preserve">с правом изготовления радиофармацевтических</w:t>
      </w:r>
    </w:p>
    <w:p>
      <w:pPr>
        <w:pStyle w:val="2"/>
        <w:jc w:val="center"/>
      </w:pPr>
      <w:r>
        <w:rPr>
          <w:sz w:val="20"/>
        </w:rPr>
        <w:t xml:space="preserve">лекарственных препаратов)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Для аптечных пунктов, в том числе являющихся структурным</w:t>
      </w:r>
    </w:p>
    <w:p>
      <w:pPr>
        <w:pStyle w:val="2"/>
        <w:jc w:val="center"/>
      </w:pPr>
      <w:r>
        <w:rPr>
          <w:sz w:val="20"/>
        </w:rPr>
        <w:t xml:space="preserve">подразделением медицинской организации, аптечных киосков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0"/>
        </w:rPr>
        <w:t xml:space="preserve">на фармацевтическую деятельность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0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мягкие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декабря 2025 г. N 3867-р</w:t>
      </w:r>
    </w:p>
    <w:p>
      <w:pPr>
        <w:pStyle w:val="0"/>
        <w:jc w:val="both"/>
      </w:pPr>
      <w:r>
        <w:rPr>
          <w:sz w:val="20"/>
        </w:rPr>
      </w:r>
    </w:p>
    <w:bookmarkStart w:id="4767" w:name="P4767"/>
    <w:bookmarkEnd w:id="476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УТРАТИВШИХ СИЛУ АКТОВ ПРАВИТЕЛЬСТВА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9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r:id="rId10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</w:t>
      </w:r>
      <w:hyperlink w:history="0" r:id="rId11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</w:t>
      </w:r>
      <w:hyperlink w:history="0" r:id="rId12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</w:t>
      </w:r>
      <w:hyperlink w:history="0" r:id="rId13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</w:t>
      </w:r>
      <w:hyperlink w:history="0" r:id="rId14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</w:t>
      </w:r>
      <w:hyperlink w:history="0" r:id="rId15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</w:t>
      </w:r>
      <w:hyperlink w:history="0" r:id="rId16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</w:t>
      </w:r>
      <w:hyperlink w:history="0" r:id="rId17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</w:t>
      </w:r>
      <w:hyperlink w:history="0" r:id="rId18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</w:t>
      </w:r>
      <w:hyperlink w:history="0" r:id="rId19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</w:t>
      </w:r>
      <w:hyperlink w:history="0" r:id="rId20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hyperlink" Target="https://login.consultant.ru/link/?req=doc&amp;base=LAW&amp;n=496460" TargetMode = "External"/><Relationship Id="rId10" Type="http://schemas.openxmlformats.org/officeDocument/2006/relationships/hyperlink" Target="https://login.consultant.ru/link/?req=doc&amp;base=LAW&amp;n=351419" TargetMode = "External"/><Relationship Id="rId11" Type="http://schemas.openxmlformats.org/officeDocument/2006/relationships/hyperlink" Target="https://login.consultant.ru/link/?req=doc&amp;base=LAW&amp;n=365006" TargetMode = "External"/><Relationship Id="rId12" Type="http://schemas.openxmlformats.org/officeDocument/2006/relationships/hyperlink" Target="https://login.consultant.ru/link/?req=doc&amp;base=LAW&amp;n=368666" TargetMode = "External"/><Relationship Id="rId13" Type="http://schemas.openxmlformats.org/officeDocument/2006/relationships/hyperlink" Target="https://login.consultant.ru/link/?req=doc&amp;base=LAW&amp;n=404667" TargetMode = "External"/><Relationship Id="rId14" Type="http://schemas.openxmlformats.org/officeDocument/2006/relationships/hyperlink" Target="https://login.consultant.ru/link/?req=doc&amp;base=LAW&amp;n=413192" TargetMode = "External"/><Relationship Id="rId15" Type="http://schemas.openxmlformats.org/officeDocument/2006/relationships/hyperlink" Target="https://login.consultant.ru/link/?req=doc&amp;base=LAW&amp;n=425148" TargetMode = "External"/><Relationship Id="rId16" Type="http://schemas.openxmlformats.org/officeDocument/2006/relationships/hyperlink" Target="https://login.consultant.ru/link/?req=doc&amp;base=LAW&amp;n=428641" TargetMode = "External"/><Relationship Id="rId17" Type="http://schemas.openxmlformats.org/officeDocument/2006/relationships/hyperlink" Target="https://login.consultant.ru/link/?req=doc&amp;base=LAW&amp;n=435905" TargetMode = "External"/><Relationship Id="rId18" Type="http://schemas.openxmlformats.org/officeDocument/2006/relationships/hyperlink" Target="https://login.consultant.ru/link/?req=doc&amp;base=LAW&amp;n=449320" TargetMode = "External"/><Relationship Id="rId19" Type="http://schemas.openxmlformats.org/officeDocument/2006/relationships/hyperlink" Target="https://login.consultant.ru/link/?req=doc&amp;base=LAW&amp;n=474738" TargetMode = "External"/><Relationship Id="rId20" Type="http://schemas.openxmlformats.org/officeDocument/2006/relationships/hyperlink" Target="https://login.consultant.ru/link/?req=doc&amp;base=LAW&amp;n=49638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2026-03-11T10:46:16Z</dcterms:created>
</cp:coreProperties>
</file>